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left="581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17</w:t>
      </w:r>
      <w:r/>
    </w:p>
    <w:p>
      <w:pPr>
        <w:contextualSpacing/>
        <w:ind w:left="5812"/>
        <w:jc w:val="right"/>
        <w:tabs>
          <w:tab w:val="left" w:pos="0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договору</w:t>
      </w:r>
      <w:r>
        <w:rPr>
          <w:rFonts w:ascii="Times New Roman" w:hAnsi="Times New Roman" w:cs="Times New Roman"/>
          <w:sz w:val="24"/>
          <w:szCs w:val="24"/>
        </w:rPr>
        <w:t xml:space="preserve"> подряда </w:t>
      </w:r>
      <w:r/>
    </w:p>
    <w:p>
      <w:pPr>
        <w:contextualSpacing/>
        <w:ind w:left="5812"/>
        <w:jc w:val="right"/>
        <w:tabs>
          <w:tab w:val="left" w:pos="0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_____________№________</w:t>
      </w:r>
      <w:r/>
    </w:p>
    <w:p>
      <w:pPr>
        <w:ind w:left="709" w:firstLine="5245"/>
        <w:jc w:val="right"/>
        <w:tabs>
          <w:tab w:val="left" w:pos="0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  <w:r>
        <w:rPr>
          <w:rFonts w:ascii="Times New Roman" w:hAnsi="Times New Roman" w:cs="Times New Roman"/>
          <w:b/>
          <w:spacing w:val="40"/>
          <w:sz w:val="28"/>
          <w:szCs w:val="28"/>
        </w:rPr>
        <w:t xml:space="preserve">НЕЗАВИСИМАЯ ГАРАНТИЯ,</w:t>
      </w:r>
      <w:r/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предоставляемая в качестве обеспечения исполнения договора,</w:t>
      </w:r>
      <w:r/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заключаемого при осуществлении конкурентной закупки товаров, работ,</w:t>
      </w:r>
      <w:r/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услуг в электронной форме, участниками которой могут быть только</w:t>
      </w:r>
      <w:r/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субъекты малого и среднего предпринимательства</w:t>
      </w:r>
      <w:r/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(Форма)</w:t>
      </w:r>
      <w:bookmarkStart w:id="0" w:name="_GoBack"/>
      <w:r/>
      <w:bookmarkEnd w:id="0"/>
      <w:r/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tbl>
      <w:tblPr>
        <w:tblW w:w="4960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558"/>
      </w:tblGrid>
      <w:tr>
        <w:trPr>
          <w:jc w:val="right"/>
          <w:trHeight w:val="340"/>
        </w:trPr>
        <w:tc>
          <w:tcPr>
            <w:shd w:val="clear" w:color="auto" w:fill="auto"/>
            <w:tcBorders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выдачи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jc w:val="right"/>
          <w:trHeight w:val="340"/>
        </w:trPr>
        <w:tc>
          <w:tcPr>
            <w:shd w:val="clear" w:color="auto" w:fill="auto"/>
            <w:tcBorders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независимой гарантии</w:t>
            </w:r>
            <w:r>
              <w:rPr>
                <w:rStyle w:val="658"/>
                <w:rFonts w:ascii="Times New Roman" w:hAnsi="Times New Roman" w:cs="Times New Roman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Информация о гаранте, принципале, бенефициаре</w:t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558"/>
      </w:tblGrid>
      <w:tr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Коды</w:t>
            </w:r>
            <w:r/>
          </w:p>
        </w:tc>
      </w:tr>
      <w:tr>
        <w:trPr>
          <w:trHeight w:val="253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 гаранта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КПП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БИК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Идентификационный код гаранта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/>
          </w:p>
        </w:tc>
      </w:tr>
      <w:tr>
        <w:trPr>
          <w:trHeight w:val="624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нахождения, телефон, адрес электронной почты гаранта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по ОКТМО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</w:t>
            </w:r>
            <w:r>
              <w:rPr>
                <w:rFonts w:ascii="Times New Roman" w:hAnsi="Times New Roman" w:cs="Times New Roman"/>
              </w:rPr>
              <w:br/>
              <w:t xml:space="preserve">принципала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</w:t>
            </w:r>
            <w:r>
              <w:rPr>
                <w:rStyle w:val="658"/>
                <w:rFonts w:ascii="Times New Roman" w:hAnsi="Times New Roman" w:cs="Times New Roman"/>
              </w:rPr>
              <w:t xml:space="preserve">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КПП</w:t>
            </w:r>
            <w:r>
              <w:rPr>
                <w:rStyle w:val="658"/>
                <w:rFonts w:ascii="Times New Roman" w:hAnsi="Times New Roman" w:cs="Times New Roman"/>
              </w:rPr>
              <w:t xml:space="preserve">3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24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нахождения, телефон, адрес электронной почты принципала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ОКТМО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Полное наименование</w:t>
            </w:r>
            <w:r>
              <w:rPr>
                <w:rFonts w:ascii="Times New Roman" w:hAnsi="Times New Roman" w:cs="Times New Roman"/>
              </w:rPr>
              <w:br/>
              <w:t xml:space="preserve">бенефициара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КПП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trHeight w:val="624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нахождения, телефон, адрес электронной почты бенефициара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ОКТМО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Информация о закупке, для обеспечения договора, заключаемого</w:t>
      </w:r>
      <w:r/>
    </w:p>
    <w:p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осуществлении которой, предоставляется независимая гарантия</w:t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2758"/>
      </w:tblGrid>
      <w:tr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извещения об осуществлении конкурентной закупки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1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W w:w="27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"/>
          <w:szCs w:val="2"/>
        </w:rPr>
      </w:r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2758"/>
      </w:tblGrid>
      <w:tr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Предмет договора</w:t>
            </w:r>
            <w:r>
              <w:rPr>
                <w:rStyle w:val="658"/>
                <w:rFonts w:ascii="Times New Roman" w:hAnsi="Times New Roman" w:cs="Times New Roman"/>
              </w:rPr>
              <w:t xml:space="preserve">4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W w:w="27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Условия независимой гарантии</w:t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558"/>
      </w:tblGrid>
      <w:tr>
        <w:trPr/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независимой гарантии, подлежащая уплате гарантом бенефициару (далее — сумма независимой гарантии)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валюты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ОКВ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вступления независимой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гарантии в силу</w:t>
            </w:r>
            <w:r>
              <w:rPr>
                <w:rStyle w:val="658"/>
                <w:rFonts w:ascii="Times New Roman" w:hAnsi="Times New Roman" w:cs="Times New Roman"/>
              </w:rPr>
              <w:t xml:space="preserve">5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shd w:val="clear" w:color="auto" w:fill="auto"/>
            <w:tcMar>
              <w:left w:w="0" w:type="dxa"/>
              <w:right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Срок действия независимой</w:t>
            </w:r>
            <w:r/>
          </w:p>
          <w:p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гарантии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5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W w:w="1200" w:type="dxa"/>
            <w:vAlign w:val="bottom"/>
            <w:textDirection w:val="lrTb"/>
            <w:noWrap w:val="false"/>
          </w:tcPr>
          <w:p>
            <w:pPr>
              <w:ind w:right="5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W w:w="1558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/>
    </w:p>
    <w:p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1. Настоящая независимая гарантия обеспечивает исполнение принципалом его обязательств, предусмотренных договором, заключенным (заключаемым) с бенефициаром, включающих в том числе обязательства принципала по уплате неустоек (штрафов, пеней).</w:t>
      </w:r>
      <w:r/>
    </w:p>
    <w:p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2. Настоящая независимая гарантия не может быть отозвана гарантом.</w:t>
      </w:r>
      <w:r/>
    </w:p>
    <w:p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3. Бенефициар в случае неисполне</w:t>
      </w:r>
      <w:r>
        <w:rPr>
          <w:rFonts w:ascii="Times New Roman" w:hAnsi="Times New Roman" w:cs="Times New Roman"/>
          <w:sz w:val="23"/>
          <w:szCs w:val="23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— требование) в размере цены догово</w:t>
      </w:r>
      <w:r>
        <w:rPr>
          <w:rFonts w:ascii="Times New Roman" w:hAnsi="Times New Roman" w:cs="Times New Roman"/>
          <w:sz w:val="23"/>
          <w:szCs w:val="23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/>
    </w:p>
    <w:p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4. 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/>
    </w:p>
    <w:p>
      <w:pPr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3"/>
          <w:szCs w:val="23"/>
        </w:rPr>
        <w:t xml:space="preserve">5. 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</w:t>
      </w:r>
      <w:r>
        <w:rPr>
          <w:rFonts w:ascii="Times New Roman" w:hAnsi="Times New Roman" w:cs="Times New Roman"/>
          <w:sz w:val="23"/>
          <w:szCs w:val="23"/>
        </w:rPr>
        <w:br/>
      </w:r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6"/>
        <w:gridCol w:w="8875"/>
        <w:gridCol w:w="140"/>
      </w:tblGrid>
      <w:tr>
        <w:trPr>
          <w:trHeight w:val="156"/>
        </w:trPr>
        <w:tc>
          <w:tcPr>
            <w:shd w:val="clear" w:color="auto" w:fill="auto"/>
            <w:tcW w:w="1176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по адресу: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887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</w:r>
            <w:r/>
          </w:p>
        </w:tc>
        <w:tc>
          <w:tcPr>
            <w:shd w:val="clear" w:color="auto" w:fill="auto"/>
            <w:tcW w:w="14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Style w:val="658"/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</w:t>
            </w:r>
            <w:r/>
          </w:p>
        </w:tc>
      </w:tr>
    </w:tbl>
    <w:p>
      <w:pPr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3"/>
          <w:szCs w:val="23"/>
        </w:rPr>
        <w:t xml:space="preserve">6. Требование в форме электронного документа должно быть направлено (в случае если бенефи-</w:t>
      </w:r>
      <w:r>
        <w:rPr>
          <w:rFonts w:ascii="Times New Roman" w:hAnsi="Times New Roman" w:cs="Times New Roman"/>
          <w:sz w:val="23"/>
          <w:szCs w:val="23"/>
        </w:rPr>
        <w:br/>
      </w:r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5"/>
        <w:gridCol w:w="2926"/>
        <w:gridCol w:w="140"/>
      </w:tblGrid>
      <w:tr>
        <w:trPr>
          <w:trHeight w:val="156"/>
        </w:trPr>
        <w:tc>
          <w:tcPr>
            <w:shd w:val="clear" w:color="auto" w:fill="auto"/>
            <w:tcW w:w="7125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циар направляет требование гаранту в форме электронного документа)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926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</w:r>
            <w:r/>
          </w:p>
        </w:tc>
        <w:tc>
          <w:tcPr>
            <w:shd w:val="clear" w:color="auto" w:fill="auto"/>
            <w:tcW w:w="14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Style w:val="658"/>
                <w:rFonts w:ascii="Times New Roman" w:hAnsi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</w:t>
            </w:r>
            <w:r/>
          </w:p>
        </w:tc>
      </w:tr>
    </w:tbl>
    <w:p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7. В случае направления требования бенефициар обязан одновременно с таким требованием направить гаранту:</w:t>
      </w:r>
      <w:r/>
    </w:p>
    <w:p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а) расчет суммы, включаемой в требование по настоящей независимой гарантии;</w:t>
      </w:r>
      <w:r/>
    </w:p>
    <w:p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б) документ, содержащий указание на нарушения принципалом обязательств, предусмотренных договором;</w:t>
      </w:r>
      <w:r/>
    </w:p>
    <w:p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в) документ, подтверждающий полномочия лица, подписавшего требование по настоящей независимой гарантии от</w:t>
      </w:r>
      <w:r>
        <w:rPr>
          <w:rFonts w:ascii="Times New Roman" w:hAnsi="Times New Roman" w:cs="Times New Roman"/>
          <w:sz w:val="23"/>
          <w:szCs w:val="23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/>
    </w:p>
    <w:p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8. В случае направления требования бенефициаром на бумажном носителе предст</w:t>
      </w:r>
      <w:r>
        <w:rPr>
          <w:rFonts w:ascii="Times New Roman" w:hAnsi="Times New Roman" w:cs="Times New Roman"/>
          <w:sz w:val="23"/>
          <w:szCs w:val="23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rFonts w:ascii="Times New Roman" w:hAnsi="Times New Roman" w:cs="Times New Roman"/>
          <w:sz w:val="23"/>
          <w:szCs w:val="23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rFonts w:ascii="Times New Roman" w:hAnsi="Times New Roman" w:cs="Times New Roman"/>
          <w:sz w:val="23"/>
          <w:szCs w:val="23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/>
    </w:p>
    <w:p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9. 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гарантии.</w:t>
      </w:r>
      <w:r/>
    </w:p>
    <w:p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10. 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rFonts w:ascii="Times New Roman" w:hAnsi="Times New Roman" w:cs="Times New Roman"/>
          <w:sz w:val="23"/>
          <w:szCs w:val="23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/>
    </w:p>
    <w:p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11. Обязательство гаранта перед бенефициаром считается исполненным надл</w:t>
      </w:r>
      <w:r>
        <w:rPr>
          <w:rFonts w:ascii="Times New Roman" w:hAnsi="Times New Roman" w:cs="Times New Roman"/>
          <w:sz w:val="23"/>
          <w:szCs w:val="23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/>
    </w:p>
    <w:p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12. Гарант в случае просрочки исполнения обя</w:t>
      </w:r>
      <w:r>
        <w:rPr>
          <w:rFonts w:ascii="Times New Roman" w:hAnsi="Times New Roman" w:cs="Times New Roman"/>
          <w:sz w:val="23"/>
          <w:szCs w:val="23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rFonts w:ascii="Times New Roman" w:hAnsi="Times New Roman" w:cs="Times New Roman"/>
          <w:sz w:val="23"/>
          <w:szCs w:val="23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/>
    </w:p>
    <w:p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13. 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/>
    </w:p>
    <w:p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14. Исключение банка (если настоящая независимая гарантия выдана банком) из перечня, предусмотренного частью 1.2 статьи 45 Федерального закона «О контрактной системе в сфере закупок</w:t>
      </w:r>
      <w:r>
        <w:rPr>
          <w:rFonts w:ascii="Times New Roman" w:hAnsi="Times New Roman" w:cs="Times New Roman"/>
          <w:sz w:val="23"/>
          <w:szCs w:val="23"/>
        </w:rPr>
        <w:t xml:space="preserve"> товаров, работ, услуг для обеспечения государственных и муниципальных нужд», фонда содействия кредитованию (гарантийного фонда, фонда поручительств), являющегося участником национальной гарантийной системы поддержки малого и среднего предпринимательства, </w:t>
      </w:r>
      <w:r>
        <w:rPr>
          <w:rFonts w:ascii="Times New Roman" w:hAnsi="Times New Roman" w:cs="Times New Roman"/>
          <w:sz w:val="23"/>
          <w:szCs w:val="23"/>
        </w:rPr>
        <w:t xml:space="preserve">предусмотренного Федеральным законом «О развитии малого и среднего предпринимательства в Российской Федерации» (если независимая гарантия выдана</w:t>
      </w:r>
      <w:r>
        <w:rPr>
          <w:rFonts w:ascii="Times New Roman" w:hAnsi="Times New Roman" w:cs="Times New Roman"/>
          <w:sz w:val="23"/>
          <w:szCs w:val="23"/>
        </w:rPr>
        <w:t xml:space="preserve"> таким фондом), из перечня, предусмотренного частью 1.7 указанной статьи,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/>
    </w:p>
    <w:p>
      <w:pPr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3"/>
          <w:szCs w:val="23"/>
        </w:rPr>
        <w:t xml:space="preserve">15. Споры, возникающие в связи с исполнением обязательств по настоящей независимой гарантии, подлежат рассмотрению в арбитражном суде Хабаровского края.</w:t>
      </w:r>
      <w:r>
        <w:rPr>
          <w:rFonts w:ascii="Times New Roman" w:hAnsi="Times New Roman" w:cs="Times New Roman"/>
          <w:sz w:val="23"/>
          <w:szCs w:val="23"/>
        </w:rPr>
        <w:br/>
      </w:r>
      <w:r/>
    </w:p>
    <w:p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16. Настоящая независимая гарантия выдана в пользу бенефициара, и права требования по ней не мог</w:t>
      </w:r>
      <w:r>
        <w:rPr>
          <w:rFonts w:ascii="Times New Roman" w:hAnsi="Times New Roman" w:cs="Times New Roman"/>
          <w:sz w:val="23"/>
          <w:szCs w:val="23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/>
    </w:p>
    <w:p>
      <w:p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17. Дополнительные условия</w:t>
      </w:r>
      <w:r>
        <w:rPr>
          <w:rFonts w:ascii="Times New Roman" w:hAnsi="Times New Roman" w:cs="Times New Roman"/>
          <w:sz w:val="23"/>
          <w:szCs w:val="23"/>
          <w:vertAlign w:val="superscript"/>
        </w:rPr>
        <w:t xml:space="preserve">1, </w:t>
      </w:r>
      <w:r>
        <w:rPr>
          <w:rStyle w:val="658"/>
          <w:rFonts w:ascii="Times New Roman" w:hAnsi="Times New Roman" w:cs="Times New Roman"/>
          <w:sz w:val="23"/>
          <w:szCs w:val="23"/>
        </w:rPr>
        <w:t xml:space="preserve">8</w:t>
      </w:r>
      <w:r>
        <w:rPr>
          <w:rFonts w:ascii="Times New Roman" w:hAnsi="Times New Roman" w:cs="Times New Roman"/>
          <w:sz w:val="23"/>
          <w:szCs w:val="23"/>
        </w:rPr>
        <w:t xml:space="preserve">.</w:t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 xml:space="preserve">Уполномоченное</w:t>
      </w:r>
      <w:r/>
    </w:p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3"/>
        <w:gridCol w:w="2835"/>
        <w:gridCol w:w="141"/>
        <w:gridCol w:w="1701"/>
        <w:gridCol w:w="142"/>
        <w:gridCol w:w="3259"/>
      </w:tblGrid>
      <w:tr>
        <w:trPr>
          <w:trHeight w:val="240"/>
        </w:trPr>
        <w:tc>
          <w:tcPr>
            <w:shd w:val="clear" w:color="auto" w:fill="auto"/>
            <w:tcMar>
              <w:left w:w="0" w:type="dxa"/>
              <w:right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лицо гаранта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W w:w="14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W w:w="14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/>
        <w:tc>
          <w:tcPr>
            <w:shd w:val="clear" w:color="auto" w:fill="auto"/>
            <w:tcMar>
              <w:left w:w="0" w:type="dxa"/>
              <w:right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Cs/>
                <w:sz w:val="14"/>
                <w:szCs w:val="14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(должность)</w:t>
            </w:r>
            <w:r/>
          </w:p>
        </w:tc>
        <w:tc>
          <w:tcPr>
            <w:shd w:val="clear" w:color="auto" w:fill="auto"/>
            <w:tcW w:w="14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Cs/>
                <w:sz w:val="14"/>
                <w:szCs w:val="14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(подпись)</w:t>
            </w:r>
            <w:r/>
          </w:p>
        </w:tc>
        <w:tc>
          <w:tcPr>
            <w:shd w:val="clear" w:color="auto" w:fill="auto"/>
            <w:tcW w:w="142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Cs/>
                <w:sz w:val="14"/>
                <w:szCs w:val="14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Cs/>
                <w:sz w:val="14"/>
                <w:szCs w:val="14"/>
              </w:rPr>
              <w:t xml:space="preserve">(расшифровка подписи)</w:t>
            </w:r>
            <w:r/>
          </w:p>
        </w:tc>
      </w:tr>
    </w:tbl>
    <w:p>
      <w:pPr>
        <w:rPr>
          <w:rFonts w:ascii="Times New Roman" w:hAnsi="Times New Roman" w:cs="Times New Roman"/>
          <w:sz w:val="10"/>
          <w:szCs w:val="2"/>
          <w:lang w:val="en-US"/>
        </w:rPr>
      </w:pPr>
      <w:r>
        <w:rPr>
          <w:rFonts w:ascii="Times New Roman" w:hAnsi="Times New Roman" w:cs="Times New Roman"/>
          <w:sz w:val="10"/>
          <w:szCs w:val="2"/>
          <w:lang w:val="en-US"/>
        </w:rPr>
      </w:r>
      <w:r/>
    </w:p>
    <w:tbl>
      <w:tblPr>
        <w:tblW w:w="3836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13"/>
        <w:gridCol w:w="284"/>
        <w:gridCol w:w="1935"/>
        <w:gridCol w:w="364"/>
        <w:gridCol w:w="406"/>
        <w:gridCol w:w="294"/>
      </w:tblGrid>
      <w:tr>
        <w:trPr>
          <w:trHeight w:val="240"/>
        </w:trPr>
        <w:tc>
          <w:tcPr>
            <w:shd w:val="clear" w:color="auto" w:fill="auto"/>
            <w:tcW w:w="140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413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W w:w="28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»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93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W w:w="36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</w:t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406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shd w:val="clear" w:color="auto" w:fill="auto"/>
            <w:tcW w:w="294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</w:t>
            </w:r>
            <w:r/>
          </w:p>
        </w:tc>
      </w:tr>
    </w:tbl>
    <w:p>
      <w:pPr>
        <w:rPr>
          <w:rFonts w:ascii="Times New Roman" w:hAnsi="Times New Roman" w:cs="Times New Roman"/>
          <w:sz w:val="10"/>
          <w:szCs w:val="2"/>
          <w:lang w:val="en-US"/>
        </w:rPr>
      </w:pPr>
      <w:r>
        <w:rPr>
          <w:rFonts w:ascii="Times New Roman" w:hAnsi="Times New Roman" w:cs="Times New Roman"/>
          <w:sz w:val="10"/>
          <w:szCs w:val="2"/>
          <w:lang w:val="en-US"/>
        </w:rPr>
      </w:r>
      <w:r/>
    </w:p>
    <w:tbl>
      <w:tblPr>
        <w:tblW w:w="2834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1133"/>
      </w:tblGrid>
      <w:tr>
        <w:trPr>
          <w:jc w:val="right"/>
          <w:trHeight w:val="283"/>
        </w:trPr>
        <w:tc>
          <w:tcPr>
            <w:shd w:val="clear" w:color="auto" w:fill="auto"/>
            <w:tcBorders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Лист №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  <w:tr>
        <w:trPr>
          <w:jc w:val="right"/>
          <w:trHeight w:val="283"/>
        </w:trPr>
        <w:tc>
          <w:tcPr>
            <w:shd w:val="clear" w:color="auto" w:fill="auto"/>
            <w:tcBorders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right="11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листов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</w:t>
      </w:r>
      <w:r/>
    </w:p>
    <w:p>
      <w:pPr>
        <w:pStyle w:val="656"/>
        <w:jc w:val="both"/>
        <w:rPr>
          <w:sz w:val="16"/>
          <w:szCs w:val="16"/>
        </w:rPr>
      </w:pPr>
      <w:r>
        <w:rPr>
          <w:rStyle w:val="658"/>
          <w:sz w:val="16"/>
          <w:szCs w:val="16"/>
        </w:rPr>
        <w:t xml:space="preserve">1</w:t>
      </w:r>
      <w:r>
        <w:rPr>
          <w:sz w:val="16"/>
          <w:szCs w:val="16"/>
        </w:rPr>
        <w:t xml:space="preserve"> Указывается при наличии.</w:t>
      </w:r>
      <w:r/>
    </w:p>
    <w:p>
      <w:pPr>
        <w:pStyle w:val="656"/>
        <w:jc w:val="both"/>
        <w:rPr>
          <w:sz w:val="16"/>
          <w:szCs w:val="16"/>
        </w:rPr>
      </w:pPr>
      <w:r>
        <w:rPr>
          <w:rStyle w:val="658"/>
          <w:sz w:val="16"/>
          <w:szCs w:val="16"/>
        </w:rPr>
        <w:t xml:space="preserve">2</w:t>
      </w:r>
      <w:r>
        <w:rPr>
          <w:sz w:val="16"/>
          <w:szCs w:val="16"/>
        </w:rPr>
        <w:t xml:space="preserve"> В случае отсутствия у иностранного лица и</w:t>
      </w:r>
      <w:r>
        <w:rPr>
          <w:sz w:val="16"/>
          <w:szCs w:val="16"/>
        </w:rPr>
        <w:t xml:space="preserve">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  <w:r/>
    </w:p>
    <w:p>
      <w:pPr>
        <w:pStyle w:val="656"/>
        <w:jc w:val="both"/>
        <w:rPr>
          <w:sz w:val="16"/>
          <w:szCs w:val="16"/>
        </w:rPr>
      </w:pPr>
      <w:r>
        <w:rPr>
          <w:rStyle w:val="658"/>
          <w:sz w:val="16"/>
          <w:szCs w:val="16"/>
        </w:rPr>
        <w:t xml:space="preserve">3</w:t>
      </w:r>
      <w:r>
        <w:rPr>
          <w:sz w:val="16"/>
          <w:szCs w:val="16"/>
        </w:rPr>
        <w:t xml:space="preserve"> Указывается, если принципал является юридическим лицом, аккредитованным филиалом или представительством иностранного юридического лица.</w:t>
      </w:r>
      <w:r/>
    </w:p>
    <w:p>
      <w:pPr>
        <w:pStyle w:val="656"/>
        <w:jc w:val="both"/>
        <w:rPr>
          <w:sz w:val="16"/>
          <w:szCs w:val="16"/>
        </w:rPr>
      </w:pPr>
      <w:r>
        <w:rPr>
          <w:rStyle w:val="658"/>
          <w:sz w:val="16"/>
          <w:szCs w:val="16"/>
        </w:rPr>
        <w:t xml:space="preserve">4</w:t>
      </w:r>
      <w:r>
        <w:rPr>
          <w:sz w:val="16"/>
          <w:szCs w:val="16"/>
        </w:rPr>
        <w:t xml:space="preserve"> Указывается в соответствии с извещением об осуществлении конкурентной закупки.</w:t>
      </w:r>
      <w:r/>
    </w:p>
    <w:p>
      <w:pPr>
        <w:pStyle w:val="656"/>
        <w:jc w:val="both"/>
        <w:rPr>
          <w:sz w:val="16"/>
          <w:szCs w:val="16"/>
        </w:rPr>
      </w:pPr>
      <w:r>
        <w:rPr>
          <w:rStyle w:val="658"/>
          <w:sz w:val="16"/>
          <w:szCs w:val="16"/>
        </w:rPr>
        <w:t xml:space="preserve">5</w:t>
      </w:r>
      <w:r>
        <w:rPr>
          <w:sz w:val="16"/>
          <w:szCs w:val="16"/>
        </w:rPr>
        <w:t xml:space="preserve"> 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событие</w:t>
      </w:r>
      <w:r>
        <w:rPr>
          <w:sz w:val="16"/>
          <w:szCs w:val="16"/>
        </w:rPr>
        <w:t xml:space="preserve">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один месяц, в том числе в случае его изменения.</w:t>
      </w:r>
      <w:r/>
    </w:p>
    <w:p>
      <w:pPr>
        <w:pStyle w:val="656"/>
        <w:jc w:val="both"/>
        <w:rPr>
          <w:sz w:val="16"/>
          <w:szCs w:val="16"/>
        </w:rPr>
      </w:pPr>
      <w:r>
        <w:rPr>
          <w:rStyle w:val="658"/>
          <w:sz w:val="16"/>
          <w:szCs w:val="16"/>
        </w:rPr>
        <w:t xml:space="preserve">6</w:t>
      </w:r>
      <w:r>
        <w:rPr>
          <w:sz w:val="16"/>
          <w:szCs w:val="16"/>
        </w:rPr>
        <w:t xml:space="preserve"> Указывается почтовый адрес.</w:t>
      </w:r>
      <w:r/>
    </w:p>
    <w:p>
      <w:pPr>
        <w:pStyle w:val="656"/>
        <w:jc w:val="both"/>
        <w:rPr>
          <w:sz w:val="16"/>
          <w:szCs w:val="16"/>
        </w:rPr>
      </w:pPr>
      <w:r>
        <w:rPr>
          <w:rStyle w:val="658"/>
          <w:sz w:val="16"/>
          <w:szCs w:val="16"/>
        </w:rPr>
        <w:t xml:space="preserve">7</w:t>
      </w:r>
      <w:r>
        <w:rPr>
          <w:sz w:val="16"/>
          <w:szCs w:val="16"/>
        </w:rPr>
        <w:t xml:space="preserve"> Указываются адрес электронной почты и (или) наименование информационной системы.</w:t>
      </w:r>
      <w:r/>
    </w:p>
    <w:p>
      <w:pPr>
        <w:pStyle w:val="656"/>
        <w:jc w:val="both"/>
        <w:rPr>
          <w:sz w:val="16"/>
          <w:szCs w:val="16"/>
        </w:rPr>
      </w:pPr>
      <w:r>
        <w:rPr>
          <w:rStyle w:val="658"/>
          <w:sz w:val="16"/>
          <w:szCs w:val="16"/>
        </w:rPr>
        <w:t xml:space="preserve">8 </w:t>
      </w:r>
      <w:r>
        <w:rPr>
          <w:sz w:val="16"/>
          <w:szCs w:val="16"/>
        </w:rPr>
        <w:t xml:space="preserve">Не должны противоречить положениям извещения об осуществлении конкурентной закупки, документации о конкурентной закупке и Положения о закупке бенефициара, а также требованиям к условиям независимой гарантии</w:t>
      </w:r>
      <w:r>
        <w:rPr>
          <w:sz w:val="16"/>
          <w:szCs w:val="16"/>
        </w:rPr>
        <w:t xml:space="preserve">, установленным постановлением Правительства Российской Федерации от 9 августа 2022 г. № 1397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</w:t>
      </w:r>
      <w:r>
        <w:rPr>
          <w:sz w:val="16"/>
          <w:szCs w:val="16"/>
        </w:rPr>
        <w:t xml:space="preserve">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Федерации».</w:t>
      </w:r>
      <w:r/>
    </w:p>
    <w:p>
      <w:pPr>
        <w:pStyle w:val="656"/>
        <w:jc w:val="both"/>
        <w:rPr>
          <w:sz w:val="16"/>
          <w:szCs w:val="16"/>
        </w:rPr>
      </w:pPr>
      <w:r>
        <w:rPr>
          <w:sz w:val="16"/>
          <w:szCs w:val="16"/>
        </w:rPr>
      </w:r>
      <w:r/>
    </w:p>
    <w:p>
      <w:pPr>
        <w:pStyle w:val="656"/>
        <w:jc w:val="both"/>
        <w:rPr>
          <w:sz w:val="16"/>
          <w:szCs w:val="16"/>
        </w:rPr>
      </w:pPr>
      <w:r>
        <w:rPr>
          <w:sz w:val="16"/>
          <w:szCs w:val="16"/>
        </w:rPr>
      </w:r>
      <w:r/>
    </w:p>
    <w:p>
      <w:pPr>
        <w:pStyle w:val="656"/>
        <w:jc w:val="both"/>
        <w:rPr>
          <w:sz w:val="22"/>
          <w:szCs w:val="16"/>
        </w:rPr>
      </w:pPr>
      <w:r>
        <w:rPr>
          <w:sz w:val="22"/>
          <w:szCs w:val="16"/>
        </w:rPr>
        <w:t xml:space="preserve">Форма согласована</w:t>
      </w:r>
      <w:r/>
    </w:p>
    <w:p>
      <w:pPr>
        <w:pStyle w:val="656"/>
        <w:jc w:val="both"/>
        <w:rPr>
          <w:sz w:val="16"/>
          <w:szCs w:val="16"/>
        </w:rPr>
      </w:pPr>
      <w:r>
        <w:rPr>
          <w:sz w:val="16"/>
          <w:szCs w:val="16"/>
        </w:rPr>
      </w:r>
      <w:r/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Заказчик: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Подрядчик:</w:t>
            </w:r>
            <w:r/>
          </w:p>
        </w:tc>
      </w:tr>
      <w:tr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_______________ / _______________ 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_______________ / _______________ </w:t>
            </w:r>
            <w:r/>
          </w:p>
        </w:tc>
      </w:tr>
    </w:tbl>
    <w:p>
      <w:pPr>
        <w:pStyle w:val="656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</w:r>
      <w:r/>
    </w:p>
    <w:sectPr>
      <w:footnotePr/>
      <w:endnotePr/>
      <w:type w:val="nextPage"/>
      <w:pgSz w:w="11906" w:h="16838" w:orient="portrait"/>
      <w:pgMar w:top="567" w:right="709" w:bottom="993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imes New Roman">
    <w:panose1 w:val="02020603050405020304"/>
  </w:font>
  <w:font w:name="Cambria">
    <w:panose1 w:val="020408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448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45"/>
    <w:link w:val="644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43"/>
    <w:next w:val="64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45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43"/>
    <w:next w:val="64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45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43"/>
    <w:next w:val="64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45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43"/>
    <w:next w:val="64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45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43"/>
    <w:next w:val="64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45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43"/>
    <w:next w:val="64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45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43"/>
    <w:next w:val="64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45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43"/>
    <w:next w:val="64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45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43"/>
    <w:next w:val="64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45"/>
    <w:link w:val="34"/>
    <w:uiPriority w:val="10"/>
    <w:rPr>
      <w:sz w:val="48"/>
      <w:szCs w:val="48"/>
    </w:rPr>
  </w:style>
  <w:style w:type="paragraph" w:styleId="36">
    <w:name w:val="Subtitle"/>
    <w:basedOn w:val="643"/>
    <w:next w:val="64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45"/>
    <w:link w:val="36"/>
    <w:uiPriority w:val="11"/>
    <w:rPr>
      <w:sz w:val="24"/>
      <w:szCs w:val="24"/>
    </w:rPr>
  </w:style>
  <w:style w:type="paragraph" w:styleId="38">
    <w:name w:val="Quote"/>
    <w:basedOn w:val="643"/>
    <w:next w:val="64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43"/>
    <w:next w:val="64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4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45"/>
    <w:link w:val="42"/>
    <w:uiPriority w:val="99"/>
  </w:style>
  <w:style w:type="paragraph" w:styleId="44">
    <w:name w:val="Footer"/>
    <w:basedOn w:val="643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45"/>
    <w:link w:val="44"/>
    <w:uiPriority w:val="99"/>
  </w:style>
  <w:style w:type="paragraph" w:styleId="46">
    <w:name w:val="Caption"/>
    <w:basedOn w:val="643"/>
    <w:next w:val="64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4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4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649"/>
    <w:uiPriority w:val="99"/>
    <w:rPr>
      <w:sz w:val="18"/>
    </w:rPr>
  </w:style>
  <w:style w:type="character" w:styleId="179">
    <w:name w:val="Endnote Text Char"/>
    <w:link w:val="656"/>
    <w:uiPriority w:val="99"/>
    <w:rPr>
      <w:sz w:val="20"/>
    </w:rPr>
  </w:style>
  <w:style w:type="paragraph" w:styleId="181">
    <w:name w:val="toc 1"/>
    <w:basedOn w:val="643"/>
    <w:next w:val="64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43"/>
    <w:next w:val="64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43"/>
    <w:next w:val="64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43"/>
    <w:next w:val="64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43"/>
    <w:next w:val="64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43"/>
    <w:next w:val="64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43"/>
    <w:next w:val="64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43"/>
    <w:next w:val="64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43"/>
    <w:next w:val="64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43"/>
    <w:next w:val="643"/>
    <w:uiPriority w:val="99"/>
    <w:unhideWhenUsed/>
    <w:pPr>
      <w:spacing w:after="0" w:afterAutospacing="0"/>
    </w:pPr>
  </w:style>
  <w:style w:type="paragraph" w:styleId="643" w:default="1">
    <w:name w:val="Normal"/>
    <w:qFormat/>
  </w:style>
  <w:style w:type="paragraph" w:styleId="644">
    <w:name w:val="Heading 1"/>
    <w:basedOn w:val="643"/>
    <w:next w:val="643"/>
    <w:link w:val="655"/>
    <w:qFormat/>
    <w:pPr>
      <w:keepNext/>
      <w:spacing w:before="240" w:after="60" w:line="240" w:lineRule="auto"/>
      <w:outlineLvl w:val="0"/>
    </w:pPr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character" w:styleId="645" w:default="1">
    <w:name w:val="Default Paragraph Font"/>
    <w:uiPriority w:val="1"/>
    <w:semiHidden/>
    <w:unhideWhenUsed/>
  </w:style>
  <w:style w:type="table" w:styleId="6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47" w:default="1">
    <w:name w:val="No List"/>
    <w:uiPriority w:val="99"/>
    <w:semiHidden/>
    <w:unhideWhenUsed/>
  </w:style>
  <w:style w:type="paragraph" w:styleId="648">
    <w:name w:val="Normal (Web)"/>
    <w:basedOn w:val="643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49">
    <w:name w:val="footnote text"/>
    <w:basedOn w:val="643"/>
    <w:link w:val="650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50" w:customStyle="1">
    <w:name w:val="Текст сноски Знак"/>
    <w:basedOn w:val="645"/>
    <w:link w:val="649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51">
    <w:name w:val="footnote reference"/>
    <w:rPr>
      <w:vertAlign w:val="superscript"/>
    </w:rPr>
  </w:style>
  <w:style w:type="paragraph" w:styleId="652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653">
    <w:name w:val="List Paragraph"/>
    <w:basedOn w:val="643"/>
    <w:uiPriority w:val="34"/>
    <w:qFormat/>
    <w:pPr>
      <w:contextualSpacing/>
      <w:ind w:left="720"/>
    </w:pPr>
  </w:style>
  <w:style w:type="character" w:styleId="654">
    <w:name w:val="Hyperlink"/>
    <w:basedOn w:val="645"/>
    <w:uiPriority w:val="99"/>
    <w:unhideWhenUsed/>
    <w:rPr>
      <w:color w:val="0563c1" w:themeColor="hyperlink"/>
      <w:u w:val="single"/>
    </w:rPr>
  </w:style>
  <w:style w:type="character" w:styleId="655" w:customStyle="1">
    <w:name w:val="Заголовок 1 Знак"/>
    <w:basedOn w:val="645"/>
    <w:link w:val="644"/>
    <w:rPr>
      <w:rFonts w:ascii="Cambria" w:hAnsi="Cambria" w:eastAsia="Times New Roman" w:cs="Times New Roman"/>
      <w:b/>
      <w:bCs/>
      <w:sz w:val="32"/>
      <w:szCs w:val="32"/>
      <w:lang w:eastAsia="ru-RU"/>
    </w:rPr>
  </w:style>
  <w:style w:type="paragraph" w:styleId="656">
    <w:name w:val="endnote text"/>
    <w:basedOn w:val="643"/>
    <w:link w:val="657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57" w:customStyle="1">
    <w:name w:val="Текст концевой сноски Знак"/>
    <w:basedOn w:val="645"/>
    <w:link w:val="65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58">
    <w:name w:val="endnote reference"/>
    <w:uiPriority w:val="99"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>DVGK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Матющенко Сергей Валерьевич</dc:creator>
  <cp:keywords/>
  <dc:description/>
  <cp:revision>24</cp:revision>
  <dcterms:created xsi:type="dcterms:W3CDTF">2019-12-30T00:47:00Z</dcterms:created>
  <dcterms:modified xsi:type="dcterms:W3CDTF">2024-03-07T04:12:49Z</dcterms:modified>
</cp:coreProperties>
</file>